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4"/>
          <w:shd w:fill="EEECE1" w:val="clear"/>
        </w:rPr>
      </w:pP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4"/>
          <w:shd w:fill="EEECE1" w:val="clear"/>
        </w:rPr>
        <w:t xml:space="preserve">Наставни содржини и задачи по географија за периодот од 16.3.2020г. – 10.4.2020г.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  <w:t xml:space="preserve">7a </w:t>
      </w: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  <w:t xml:space="preserve">и 7б одделение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Тема.3 Економско - географски карактеристики на Р. Северна Македонија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Наставна содржина: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Шумарство, лов и риболов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стр. 72 во учебникот да се прочита и да се одговорат во тетратка прашањата од лекцијата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стр.73 во учебникот)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Наставна содржина: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Енергетски извори и рудно богаство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стр. 74 во учебникот да се прочита и да се одговорат во тетратка прашањата од лекцијата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стр.76 во учебникот)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Наставна содржина: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Индустрија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стр. 80 во учебникот да се прочита и да се одговорат прашањата од лекцијата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стр. 81 во учебникот)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Наставник: Љубиша Ѓорѓевиќ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