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Хемија-8 одд.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од 01-03.06.2020год.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Проверување на материјалот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Прашања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1.Што е хемиска промена или хемиска реакција?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2.Што од следново е хемиска а што физичка промена?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а)кинење хартија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б) рѓосување на железо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в) топење на сладолед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г)горење на дрво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д)сечење на леб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ѓ) печење на леб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3.Сулфурот гори во присуство на кислород и образува сулфур диоксид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а) кои се реактанти во хемиската реакција?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б) кои се продукти во реакцијата?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в) напиши ја текстуалната равенка на реакцијата?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4.Напиши хемиска равенка на реакцијата на натриум со вода?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5.Напиши пет формули на хидроксиди именувај ги?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6.Што се: сулфати, хлориди, нитрати?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7.Препиши ги и дополни ги следниве текстуални реакции: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а)цинк нитрат +натриум хидроксид=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б) железо + сулфурна к-на=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8.Напиши ја текстуалната равенка на реакцијата: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а) цинк карбонат + сулфурна к-на =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9.Напиши четири формули на киселини и соли и именувај ги?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10.Што претставува прашокот за пециво и како дејствува?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B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F528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